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051" w:rsidRDefault="00257051">
      <w:bookmarkStart w:id="0" w:name="_GoBack"/>
      <w:r>
        <w:rPr>
          <w:noProof/>
          <w:lang w:eastAsia="de-DE"/>
        </w:rPr>
        <w:drawing>
          <wp:inline distT="0" distB="0" distL="0" distR="0">
            <wp:extent cx="12428220" cy="6685374"/>
            <wp:effectExtent l="0" t="0" r="0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2352" cy="6687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C39A2" w:rsidRDefault="00ED4130"/>
    <w:sectPr w:rsidR="00DC39A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51"/>
    <w:rsid w:val="00257051"/>
    <w:rsid w:val="003B6B97"/>
    <w:rsid w:val="00820F45"/>
    <w:rsid w:val="00ED4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6338ED-5C61-4BBF-8BBB-147D7D917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Liebherr-Hausgeräte Lienz GmbH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Rinner Hermann (LWL-VI)</dc:creator>
  <cp:keywords/>
  <dc:description/>
  <cp:lastModifiedBy>Rinner Hermann (LWL-VI)</cp:lastModifiedBy>
  <cp:revision>2</cp:revision>
  <dcterms:created xsi:type="dcterms:W3CDTF">2019-04-02T17:21:00Z</dcterms:created>
  <dcterms:modified xsi:type="dcterms:W3CDTF">2019-04-02T17:22:00Z</dcterms:modified>
</cp:coreProperties>
</file>